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仿宋" w:eastAsia="方正小标宋简体"/>
          <w:sz w:val="32"/>
          <w:lang w:val="en-US" w:eastAsia="zh-CN"/>
        </w:rPr>
      </w:pPr>
      <w:bookmarkStart w:id="0" w:name="_GoBack"/>
      <w:bookmarkEnd w:id="0"/>
      <w:r>
        <w:rPr>
          <w:rFonts w:hint="eastAsia" w:ascii="方正小标宋简体" w:hAnsi="仿宋" w:eastAsia="方正小标宋简体"/>
          <w:sz w:val="32"/>
        </w:rPr>
        <w:t>北京工商大学</w:t>
      </w:r>
      <w:r>
        <w:rPr>
          <w:rFonts w:hint="eastAsia" w:ascii="方正小标宋简体" w:hAnsi="仿宋" w:eastAsia="方正小标宋简体"/>
          <w:sz w:val="32"/>
          <w:lang w:val="en-US" w:eastAsia="zh-CN"/>
        </w:rPr>
        <w:t>计算机与人工智能学院</w:t>
      </w:r>
    </w:p>
    <w:p>
      <w:pPr>
        <w:jc w:val="center"/>
        <w:rPr>
          <w:rFonts w:hint="eastAsia" w:ascii="方正小标宋简体" w:hAnsi="仿宋" w:eastAsia="方正小标宋简体"/>
          <w:sz w:val="32"/>
        </w:rPr>
      </w:pPr>
      <w:r>
        <w:rPr>
          <w:rFonts w:hint="eastAsia" w:ascii="方正小标宋简体" w:hAnsi="仿宋" w:eastAsia="方正小标宋简体"/>
          <w:sz w:val="32"/>
        </w:rPr>
        <w:t>2024年硕士研究生调剂工作办法</w:t>
      </w:r>
    </w:p>
    <w:p>
      <w:pPr>
        <w:pStyle w:val="5"/>
        <w:numPr>
          <w:ilvl w:val="0"/>
          <w:numId w:val="1"/>
        </w:numPr>
        <w:ind w:firstLineChars="0"/>
        <w:rPr>
          <w:rFonts w:ascii="仿宋" w:hAnsi="仿宋" w:eastAsia="仿宋"/>
          <w:b/>
          <w:sz w:val="28"/>
        </w:rPr>
      </w:pPr>
      <w:r>
        <w:rPr>
          <w:rFonts w:ascii="仿宋" w:hAnsi="仿宋" w:eastAsia="仿宋"/>
          <w:b/>
          <w:sz w:val="28"/>
        </w:rPr>
        <w:t>调剂专业及调剂人数</w:t>
      </w:r>
    </w:p>
    <w:p>
      <w:pPr>
        <w:pStyle w:val="5"/>
        <w:numPr>
          <w:ilvl w:val="0"/>
          <w:numId w:val="0"/>
        </w:numPr>
        <w:ind w:leftChars="0" w:firstLine="420" w:firstLineChars="0"/>
        <w:rPr>
          <w:rFonts w:hint="default" w:ascii="仿宋" w:hAnsi="仿宋" w:eastAsia="仿宋"/>
          <w:b w:val="0"/>
          <w:bCs/>
          <w:sz w:val="28"/>
          <w:lang w:val="en-US" w:eastAsia="zh-CN"/>
        </w:rPr>
      </w:pPr>
      <w:r>
        <w:rPr>
          <w:rFonts w:hint="eastAsia" w:ascii="仿宋" w:hAnsi="仿宋" w:eastAsia="仿宋"/>
          <w:b w:val="0"/>
          <w:bCs/>
          <w:sz w:val="28"/>
          <w:lang w:val="en-US" w:eastAsia="zh-CN"/>
        </w:rPr>
        <w:t>计算机与人工智能学院各专业硕士生拟调剂人数如下：</w:t>
      </w:r>
    </w:p>
    <w:tbl>
      <w:tblPr>
        <w:tblStyle w:val="2"/>
        <w:tblW w:w="5000" w:type="pct"/>
        <w:tblInd w:w="0" w:type="dxa"/>
        <w:tblLayout w:type="autofit"/>
        <w:tblCellMar>
          <w:top w:w="0" w:type="dxa"/>
          <w:left w:w="108" w:type="dxa"/>
          <w:bottom w:w="0" w:type="dxa"/>
          <w:right w:w="108" w:type="dxa"/>
        </w:tblCellMar>
      </w:tblPr>
      <w:tblGrid>
        <w:gridCol w:w="2614"/>
        <w:gridCol w:w="1166"/>
        <w:gridCol w:w="2477"/>
        <w:gridCol w:w="1403"/>
        <w:gridCol w:w="862"/>
      </w:tblGrid>
      <w:tr>
        <w:tblPrEx>
          <w:tblCellMar>
            <w:top w:w="0" w:type="dxa"/>
            <w:left w:w="108" w:type="dxa"/>
            <w:bottom w:w="0" w:type="dxa"/>
            <w:right w:w="108" w:type="dxa"/>
          </w:tblCellMar>
        </w:tblPrEx>
        <w:trPr>
          <w:trHeight w:val="399" w:hRule="atLeast"/>
          <w:tblHeader/>
        </w:trPr>
        <w:tc>
          <w:tcPr>
            <w:tcW w:w="153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宋体"/>
                <w:b/>
                <w:bCs/>
                <w:kern w:val="0"/>
                <w:sz w:val="22"/>
              </w:rPr>
            </w:pPr>
            <w:r>
              <w:rPr>
                <w:rFonts w:hint="eastAsia" w:ascii="仿宋" w:hAnsi="仿宋" w:eastAsia="仿宋" w:cs="宋体"/>
                <w:b/>
                <w:bCs/>
                <w:kern w:val="0"/>
                <w:sz w:val="22"/>
              </w:rPr>
              <w:t>学院</w:t>
            </w:r>
          </w:p>
        </w:tc>
        <w:tc>
          <w:tcPr>
            <w:tcW w:w="684"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b/>
                <w:bCs/>
                <w:kern w:val="0"/>
                <w:sz w:val="22"/>
              </w:rPr>
            </w:pPr>
            <w:r>
              <w:rPr>
                <w:rFonts w:hint="eastAsia" w:ascii="仿宋" w:hAnsi="仿宋" w:eastAsia="仿宋" w:cs="宋体"/>
                <w:b/>
                <w:bCs/>
                <w:kern w:val="0"/>
                <w:sz w:val="22"/>
              </w:rPr>
              <w:t>专业代码</w:t>
            </w:r>
          </w:p>
        </w:tc>
        <w:tc>
          <w:tcPr>
            <w:tcW w:w="145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b/>
                <w:bCs/>
                <w:kern w:val="0"/>
                <w:sz w:val="22"/>
              </w:rPr>
            </w:pPr>
            <w:r>
              <w:rPr>
                <w:rFonts w:hint="eastAsia" w:ascii="仿宋" w:hAnsi="仿宋" w:eastAsia="仿宋" w:cs="宋体"/>
                <w:b/>
                <w:bCs/>
                <w:kern w:val="0"/>
                <w:sz w:val="22"/>
              </w:rPr>
              <w:t>专业名称</w:t>
            </w:r>
          </w:p>
        </w:tc>
        <w:tc>
          <w:tcPr>
            <w:tcW w:w="823" w:type="pct"/>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b/>
                <w:bCs/>
                <w:kern w:val="0"/>
                <w:sz w:val="22"/>
              </w:rPr>
            </w:pPr>
            <w:r>
              <w:rPr>
                <w:rFonts w:hint="eastAsia" w:ascii="仿宋" w:hAnsi="仿宋" w:eastAsia="仿宋" w:cs="宋体"/>
                <w:b/>
                <w:bCs/>
                <w:kern w:val="0"/>
                <w:sz w:val="22"/>
              </w:rPr>
              <w:t>学习形式</w:t>
            </w:r>
          </w:p>
        </w:tc>
        <w:tc>
          <w:tcPr>
            <w:tcW w:w="505"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b/>
                <w:bCs/>
                <w:kern w:val="0"/>
                <w:sz w:val="22"/>
              </w:rPr>
            </w:pPr>
            <w:r>
              <w:rPr>
                <w:rFonts w:hint="eastAsia" w:ascii="仿宋" w:hAnsi="仿宋" w:eastAsia="仿宋" w:cs="宋体"/>
                <w:b/>
                <w:bCs/>
                <w:kern w:val="0"/>
                <w:sz w:val="22"/>
              </w:rPr>
              <w:t>调剂人数</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085601</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材料工程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2</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071100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系统科学</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7</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080200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机械工程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8</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081100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控制科学与工程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15</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081200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计算机科学与技术</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lang w:val="en-US" w:eastAsia="zh-CN"/>
              </w:rPr>
            </w:pPr>
            <w:r>
              <w:rPr>
                <w:rFonts w:hint="eastAsia" w:ascii="仿宋" w:hAnsi="仿宋" w:eastAsia="仿宋" w:cs="宋体"/>
                <w:kern w:val="0"/>
                <w:sz w:val="22"/>
              </w:rPr>
              <w:t>1</w:t>
            </w:r>
            <w:r>
              <w:rPr>
                <w:rFonts w:hint="eastAsia" w:ascii="仿宋" w:hAnsi="仿宋" w:eastAsia="仿宋" w:cs="宋体"/>
                <w:kern w:val="0"/>
                <w:sz w:val="22"/>
                <w:lang w:val="en-US" w:eastAsia="zh-CN"/>
              </w:rPr>
              <w:t>7</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085406</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控制工程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19</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085410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人工智能</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4</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085501</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机械工程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3</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085509</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智能制造技术</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6</w:t>
            </w:r>
          </w:p>
        </w:tc>
      </w:tr>
      <w:tr>
        <w:tblPrEx>
          <w:tblCellMar>
            <w:top w:w="0" w:type="dxa"/>
            <w:left w:w="108" w:type="dxa"/>
            <w:bottom w:w="0" w:type="dxa"/>
            <w:right w:w="108" w:type="dxa"/>
          </w:tblCellMar>
        </w:tblPrEx>
        <w:trPr>
          <w:trHeight w:val="399" w:hRule="atLeast"/>
        </w:trPr>
        <w:tc>
          <w:tcPr>
            <w:tcW w:w="1533" w:type="pc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计算机与人工智能学院</w:t>
            </w:r>
          </w:p>
        </w:tc>
        <w:tc>
          <w:tcPr>
            <w:tcW w:w="684" w:type="pct"/>
            <w:tcBorders>
              <w:top w:val="nil"/>
              <w:left w:val="nil"/>
              <w:bottom w:val="single" w:color="auto" w:sz="4" w:space="0"/>
              <w:right w:val="single" w:color="auto" w:sz="4" w:space="0"/>
            </w:tcBorders>
            <w:shd w:val="clear" w:color="auto" w:fill="auto"/>
            <w:noWrap/>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087100</w:t>
            </w:r>
          </w:p>
        </w:tc>
        <w:tc>
          <w:tcPr>
            <w:tcW w:w="145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管理科学与工程</w:t>
            </w:r>
          </w:p>
        </w:tc>
        <w:tc>
          <w:tcPr>
            <w:tcW w:w="823" w:type="pct"/>
            <w:tcBorders>
              <w:top w:val="nil"/>
              <w:left w:val="nil"/>
              <w:bottom w:val="single" w:color="auto" w:sz="4" w:space="0"/>
              <w:right w:val="single" w:color="auto" w:sz="4" w:space="0"/>
            </w:tcBorders>
            <w:shd w:val="clear" w:color="auto" w:fill="auto"/>
            <w:vAlign w:val="center"/>
          </w:tcPr>
          <w:p>
            <w:pPr>
              <w:widowControl/>
              <w:jc w:val="left"/>
              <w:rPr>
                <w:rFonts w:hint="eastAsia" w:ascii="仿宋" w:hAnsi="仿宋" w:eastAsia="仿宋" w:cs="宋体"/>
                <w:kern w:val="0"/>
                <w:sz w:val="22"/>
              </w:rPr>
            </w:pPr>
            <w:r>
              <w:rPr>
                <w:rFonts w:hint="eastAsia" w:ascii="仿宋" w:hAnsi="仿宋" w:eastAsia="仿宋" w:cs="宋体"/>
                <w:kern w:val="0"/>
                <w:sz w:val="22"/>
              </w:rPr>
              <w:t>全日制</w:t>
            </w:r>
          </w:p>
        </w:tc>
        <w:tc>
          <w:tcPr>
            <w:tcW w:w="50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kern w:val="0"/>
                <w:sz w:val="22"/>
              </w:rPr>
            </w:pPr>
            <w:r>
              <w:rPr>
                <w:rFonts w:hint="eastAsia" w:ascii="仿宋" w:hAnsi="仿宋" w:eastAsia="仿宋" w:cs="宋体"/>
                <w:kern w:val="0"/>
                <w:sz w:val="22"/>
              </w:rPr>
              <w:t>13</w:t>
            </w:r>
          </w:p>
        </w:tc>
      </w:tr>
    </w:tbl>
    <w:p>
      <w:pPr>
        <w:rPr>
          <w:rFonts w:hint="eastAsia" w:ascii="仿宋" w:hAnsi="仿宋" w:eastAsia="仿宋"/>
        </w:rPr>
      </w:pPr>
    </w:p>
    <w:p>
      <w:pPr>
        <w:pStyle w:val="5"/>
        <w:numPr>
          <w:ilvl w:val="0"/>
          <w:numId w:val="1"/>
        </w:numPr>
        <w:ind w:firstLineChars="0"/>
        <w:rPr>
          <w:rFonts w:ascii="仿宋" w:hAnsi="仿宋" w:eastAsia="仿宋"/>
          <w:b/>
          <w:sz w:val="28"/>
        </w:rPr>
      </w:pPr>
      <w:r>
        <w:rPr>
          <w:rFonts w:hint="eastAsia" w:ascii="仿宋" w:hAnsi="仿宋" w:eastAsia="仿宋"/>
          <w:b/>
          <w:sz w:val="28"/>
        </w:rPr>
        <w:t>调剂基本要求</w:t>
      </w:r>
    </w:p>
    <w:p>
      <w:pPr>
        <w:ind w:firstLine="560" w:firstLineChars="200"/>
        <w:rPr>
          <w:rFonts w:ascii="仿宋" w:hAnsi="仿宋" w:eastAsia="仿宋"/>
          <w:sz w:val="28"/>
        </w:rPr>
      </w:pPr>
      <w:r>
        <w:rPr>
          <w:rFonts w:hint="eastAsia" w:ascii="仿宋" w:hAnsi="仿宋" w:eastAsia="仿宋"/>
          <w:sz w:val="28"/>
        </w:rPr>
        <w:t>1.须符合我校2024年硕士研究生招生章程中的报考条件，符合专业的学术调剂条件（见</w:t>
      </w:r>
      <w:r>
        <w:rPr>
          <w:rFonts w:hint="eastAsia" w:ascii="仿宋" w:hAnsi="仿宋" w:eastAsia="仿宋"/>
          <w:sz w:val="28"/>
          <w:lang w:val="en-US" w:eastAsia="zh-CN"/>
        </w:rPr>
        <w:t>学校调剂工作办法附件</w:t>
      </w:r>
      <w:r>
        <w:rPr>
          <w:rFonts w:ascii="仿宋" w:hAnsi="仿宋" w:eastAsia="仿宋"/>
          <w:sz w:val="28"/>
        </w:rPr>
        <w:t>）</w:t>
      </w:r>
      <w:r>
        <w:rPr>
          <w:rFonts w:hint="eastAsia" w:ascii="仿宋" w:hAnsi="仿宋" w:eastAsia="仿宋"/>
          <w:sz w:val="28"/>
        </w:rPr>
        <w:t>。</w:t>
      </w:r>
    </w:p>
    <w:p>
      <w:pPr>
        <w:ind w:firstLine="560" w:firstLineChars="200"/>
        <w:rPr>
          <w:rFonts w:ascii="仿宋" w:hAnsi="仿宋" w:eastAsia="仿宋"/>
          <w:sz w:val="28"/>
        </w:rPr>
      </w:pPr>
      <w:r>
        <w:rPr>
          <w:rFonts w:hint="eastAsia" w:ascii="仿宋" w:hAnsi="仿宋" w:eastAsia="仿宋"/>
          <w:sz w:val="28"/>
        </w:rPr>
        <w:t>2.调剂考生初试成绩须符合第一志愿报考专业在调入地区的全国初试成绩基本要求，并符合调入专业的报考条件。原则上，调剂考生第一志愿专业与调入专业相同相近，或初试科目与调入专业初试科目相同相近。</w:t>
      </w:r>
    </w:p>
    <w:p>
      <w:pPr>
        <w:ind w:firstLine="560" w:firstLineChars="200"/>
        <w:rPr>
          <w:rFonts w:ascii="仿宋" w:hAnsi="仿宋" w:eastAsia="仿宋"/>
          <w:sz w:val="28"/>
        </w:rPr>
      </w:pPr>
      <w:r>
        <w:rPr>
          <w:rFonts w:hint="eastAsia" w:ascii="仿宋" w:hAnsi="仿宋" w:eastAsia="仿宋"/>
          <w:sz w:val="28"/>
        </w:rPr>
        <w:t>3.调剂考生初试全国统一命题科目应与调入专业全国统一命题科目相同（考生初试统考科目涵盖调入专业所有统考科目的，视为相同）。在全国统一命题科目中，考英语一的考生可以调剂到考英语一和英语二的专业，考数学一的考生可以调剂到考数学一、数学二、数学三的专业，考数学二的考生可以调剂到考数学二、数学三的专业，反之不可。</w:t>
      </w:r>
    </w:p>
    <w:p>
      <w:pPr>
        <w:ind w:firstLine="560" w:firstLineChars="200"/>
        <w:rPr>
          <w:rFonts w:ascii="仿宋" w:hAnsi="仿宋" w:eastAsia="仿宋"/>
          <w:sz w:val="28"/>
        </w:rPr>
      </w:pPr>
      <w:r>
        <w:rPr>
          <w:rFonts w:hint="eastAsia" w:ascii="仿宋" w:hAnsi="仿宋" w:eastAsia="仿宋"/>
          <w:sz w:val="28"/>
        </w:rPr>
        <w:t>4.只招收初试外国语为英语的考生调剂，不接收非英语考生调剂申请。</w:t>
      </w:r>
    </w:p>
    <w:p>
      <w:pPr>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.不接收“少数民族高层次骨干人才计划”和“退役大学生士兵”专项计划考生的调剂。</w:t>
      </w:r>
    </w:p>
    <w:p>
      <w:pPr>
        <w:ind w:firstLine="560" w:firstLineChars="200"/>
        <w:rPr>
          <w:rFonts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.不接收单考考生的调剂申请。</w:t>
      </w:r>
    </w:p>
    <w:p>
      <w:pPr>
        <w:ind w:firstLine="560" w:firstLineChars="200"/>
        <w:rPr>
          <w:rFonts w:ascii="仿宋" w:hAnsi="仿宋" w:eastAsia="仿宋"/>
          <w:sz w:val="28"/>
        </w:rPr>
      </w:pPr>
      <w:r>
        <w:rPr>
          <w:rFonts w:hint="eastAsia" w:ascii="仿宋" w:hAnsi="仿宋" w:eastAsia="仿宋"/>
          <w:sz w:val="28"/>
          <w:lang w:val="en-US" w:eastAsia="zh-CN"/>
        </w:rPr>
        <w:t>7</w:t>
      </w:r>
      <w:r>
        <w:rPr>
          <w:rFonts w:hint="eastAsia" w:ascii="仿宋" w:hAnsi="仿宋" w:eastAsia="仿宋"/>
          <w:sz w:val="28"/>
        </w:rPr>
        <w:t>.非全日制硕士研究生只接收在职定向就业人员调剂。</w:t>
      </w:r>
    </w:p>
    <w:p>
      <w:pPr>
        <w:ind w:firstLine="560" w:firstLineChars="200"/>
        <w:rPr>
          <w:rFonts w:ascii="仿宋" w:hAnsi="仿宋" w:eastAsia="仿宋"/>
          <w:sz w:val="28"/>
        </w:rPr>
      </w:pPr>
      <w:r>
        <w:rPr>
          <w:rFonts w:hint="eastAsia" w:ascii="仿宋" w:hAnsi="仿宋" w:eastAsia="仿宋"/>
          <w:sz w:val="28"/>
          <w:lang w:val="en-US" w:eastAsia="zh-CN"/>
        </w:rPr>
        <w:t>8</w:t>
      </w:r>
      <w:r>
        <w:rPr>
          <w:rFonts w:hint="eastAsia" w:ascii="仿宋" w:hAnsi="仿宋" w:eastAsia="仿宋"/>
          <w:sz w:val="28"/>
        </w:rPr>
        <w:t>.符合学院设置的调剂条件。</w:t>
      </w:r>
    </w:p>
    <w:p>
      <w:pPr>
        <w:pStyle w:val="5"/>
        <w:numPr>
          <w:ilvl w:val="0"/>
          <w:numId w:val="1"/>
        </w:numPr>
        <w:ind w:firstLineChars="0"/>
        <w:rPr>
          <w:rFonts w:ascii="仿宋" w:hAnsi="仿宋" w:eastAsia="仿宋"/>
          <w:b/>
          <w:sz w:val="28"/>
        </w:rPr>
      </w:pPr>
      <w:r>
        <w:rPr>
          <w:rFonts w:hint="eastAsia" w:ascii="仿宋" w:hAnsi="仿宋" w:eastAsia="仿宋"/>
          <w:b/>
          <w:sz w:val="28"/>
        </w:rPr>
        <w:t>调剂工作程序</w:t>
      </w:r>
    </w:p>
    <w:p>
      <w:pPr>
        <w:numPr>
          <w:ilvl w:val="0"/>
          <w:numId w:val="2"/>
        </w:numPr>
        <w:ind w:firstLine="560" w:firstLineChars="200"/>
        <w:rPr>
          <w:rFonts w:hint="eastAsia" w:ascii="仿宋" w:hAnsi="仿宋" w:eastAsia="仿宋"/>
          <w:sz w:val="28"/>
        </w:rPr>
      </w:pPr>
      <w:r>
        <w:rPr>
          <w:rFonts w:hint="eastAsia" w:ascii="仿宋" w:hAnsi="仿宋" w:eastAsia="仿宋"/>
          <w:sz w:val="28"/>
        </w:rPr>
        <w:t>学校统一发布调剂信息，并在“全国硕士生招生调剂服务系统”（http://yz.chsi.com.cn/yztj/，以下简称“调剂服务系统”）和学校研究生招生信息网网站公布。</w:t>
      </w:r>
    </w:p>
    <w:p>
      <w:pPr>
        <w:numPr>
          <w:ilvl w:val="0"/>
          <w:numId w:val="2"/>
        </w:numPr>
        <w:ind w:firstLine="560" w:firstLineChars="200"/>
        <w:rPr>
          <w:rFonts w:ascii="仿宋" w:hAnsi="仿宋" w:eastAsia="仿宋"/>
          <w:b/>
          <w:bCs/>
          <w:sz w:val="28"/>
        </w:rPr>
      </w:pPr>
      <w:r>
        <w:rPr>
          <w:rFonts w:hint="eastAsia" w:ascii="仿宋" w:hAnsi="仿宋" w:eastAsia="仿宋"/>
          <w:sz w:val="28"/>
        </w:rPr>
        <w:t>调剂服务系统将于2024年4月8日开放，每次开放调剂系统持续时间不低于12个小时。考生调剂志愿锁定时间为24小时。</w:t>
      </w:r>
      <w:r>
        <w:rPr>
          <w:rFonts w:hint="eastAsia" w:ascii="仿宋" w:hAnsi="仿宋" w:eastAsia="仿宋"/>
          <w:b/>
          <w:bCs/>
          <w:color w:val="FF0000"/>
          <w:sz w:val="28"/>
          <w:lang w:val="en-US" w:eastAsia="zh-CN"/>
        </w:rPr>
        <w:t>学院各学科调剂系统接收志愿截止时间，请查看学院网站各学科调剂工作细则</w:t>
      </w:r>
      <w:r>
        <w:rPr>
          <w:rFonts w:hint="eastAsia" w:ascii="仿宋" w:hAnsi="仿宋" w:eastAsia="仿宋"/>
          <w:b/>
          <w:bCs/>
          <w:sz w:val="28"/>
          <w:lang w:val="en-US" w:eastAsia="zh-CN"/>
        </w:rPr>
        <w:t>。</w:t>
      </w:r>
    </w:p>
    <w:p>
      <w:pPr>
        <w:ind w:firstLine="560" w:firstLineChars="200"/>
        <w:rPr>
          <w:rFonts w:ascii="仿宋" w:hAnsi="仿宋" w:eastAsia="仿宋"/>
          <w:sz w:val="28"/>
        </w:rPr>
      </w:pPr>
      <w:r>
        <w:rPr>
          <w:rFonts w:hint="eastAsia" w:ascii="仿宋" w:hAnsi="仿宋" w:eastAsia="仿宋"/>
          <w:sz w:val="28"/>
          <w:lang w:val="en-US" w:eastAsia="zh-CN"/>
        </w:rPr>
        <w:t>3</w:t>
      </w:r>
      <w:r>
        <w:rPr>
          <w:rFonts w:hint="eastAsia" w:ascii="仿宋" w:hAnsi="仿宋" w:eastAsia="仿宋"/>
          <w:sz w:val="28"/>
        </w:rPr>
        <w:t>.所有调剂考生（既包括接收外单位调剂考生，也包括接收本单位内部调剂考生）必须通过教育部指定的“全国硕士生招生调剂服务系统”进行。未通过该系统调剂录取的考生一律无效。</w:t>
      </w:r>
    </w:p>
    <w:p>
      <w:pPr>
        <w:ind w:firstLine="560" w:firstLineChars="200"/>
        <w:rPr>
          <w:rFonts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.对申请同一学院同一专业的调剂考生，原则上按考生初试统</w:t>
      </w:r>
      <w:r>
        <w:rPr>
          <w:rFonts w:ascii="仿宋" w:hAnsi="仿宋" w:eastAsia="仿宋"/>
          <w:sz w:val="28"/>
        </w:rPr>
        <w:t>考科目</w:t>
      </w:r>
      <w:r>
        <w:rPr>
          <w:rFonts w:hint="eastAsia" w:ascii="仿宋" w:hAnsi="仿宋" w:eastAsia="仿宋"/>
          <w:sz w:val="28"/>
        </w:rPr>
        <w:t>成绩择优确定进入复试的考生名单,理</w:t>
      </w:r>
      <w:r>
        <w:rPr>
          <w:rFonts w:ascii="仿宋" w:hAnsi="仿宋" w:eastAsia="仿宋"/>
          <w:sz w:val="28"/>
        </w:rPr>
        <w:t>学门类按考生初试总成绩择优确定</w:t>
      </w:r>
      <w:r>
        <w:rPr>
          <w:rFonts w:hint="eastAsia" w:ascii="仿宋" w:hAnsi="仿宋" w:eastAsia="仿宋"/>
          <w:sz w:val="28"/>
        </w:rPr>
        <w:t>进入</w:t>
      </w:r>
      <w:r>
        <w:rPr>
          <w:rFonts w:ascii="仿宋" w:hAnsi="仿宋" w:eastAsia="仿宋"/>
          <w:sz w:val="28"/>
        </w:rPr>
        <w:t>复试的考生名单</w:t>
      </w:r>
      <w:r>
        <w:rPr>
          <w:rFonts w:hint="eastAsia" w:ascii="仿宋" w:hAnsi="仿宋" w:eastAsia="仿宋"/>
          <w:sz w:val="28"/>
        </w:rPr>
        <w:t>。</w:t>
      </w:r>
    </w:p>
    <w:p>
      <w:pPr>
        <w:ind w:firstLine="560" w:firstLineChars="200"/>
        <w:rPr>
          <w:rFonts w:ascii="仿宋" w:hAnsi="仿宋" w:eastAsia="仿宋"/>
          <w:sz w:val="28"/>
        </w:rPr>
      </w:pPr>
      <w:r>
        <w:rPr>
          <w:rFonts w:hint="eastAsia" w:ascii="仿宋" w:hAnsi="仿宋" w:eastAsia="仿宋"/>
          <w:sz w:val="28"/>
          <w:lang w:val="en-US" w:eastAsia="zh-CN"/>
        </w:rPr>
        <w:t>5</w:t>
      </w:r>
      <w:r>
        <w:rPr>
          <w:rFonts w:hint="eastAsia" w:ascii="仿宋" w:hAnsi="仿宋" w:eastAsia="仿宋"/>
          <w:sz w:val="28"/>
        </w:rPr>
        <w:t>.调剂复试工作办法同一志愿考生复试工作办法一致。</w:t>
      </w:r>
    </w:p>
    <w:p>
      <w:pPr>
        <w:ind w:firstLine="560" w:firstLineChars="200"/>
        <w:rPr>
          <w:rFonts w:ascii="仿宋" w:hAnsi="仿宋" w:eastAsia="仿宋"/>
          <w:sz w:val="28"/>
        </w:rPr>
      </w:pPr>
      <w:r>
        <w:rPr>
          <w:rFonts w:hint="eastAsia" w:ascii="仿宋" w:hAnsi="仿宋" w:eastAsia="仿宋"/>
          <w:sz w:val="28"/>
          <w:lang w:val="en-US" w:eastAsia="zh-CN"/>
        </w:rPr>
        <w:t>6</w:t>
      </w:r>
      <w:r>
        <w:rPr>
          <w:rFonts w:hint="eastAsia" w:ascii="仿宋" w:hAnsi="仿宋" w:eastAsia="仿宋"/>
          <w:sz w:val="28"/>
        </w:rPr>
        <w:t>.</w:t>
      </w:r>
      <w:r>
        <w:rPr>
          <w:rFonts w:hint="eastAsia" w:ascii="仿宋" w:hAnsi="仿宋" w:eastAsia="仿宋"/>
          <w:b/>
          <w:bCs/>
          <w:sz w:val="28"/>
        </w:rPr>
        <w:t>调剂</w:t>
      </w:r>
      <w:r>
        <w:rPr>
          <w:rFonts w:ascii="仿宋" w:hAnsi="仿宋" w:eastAsia="仿宋"/>
          <w:b/>
          <w:bCs/>
          <w:sz w:val="28"/>
        </w:rPr>
        <w:t>考生总成绩</w:t>
      </w:r>
      <w:r>
        <w:rPr>
          <w:rFonts w:hint="eastAsia" w:ascii="仿宋" w:hAnsi="仿宋" w:eastAsia="仿宋"/>
          <w:b/>
          <w:bCs/>
          <w:sz w:val="28"/>
        </w:rPr>
        <w:t>为统考初试成绩和复试成绩按权重相加，</w:t>
      </w:r>
      <w:r>
        <w:rPr>
          <w:rFonts w:ascii="仿宋" w:hAnsi="仿宋" w:eastAsia="仿宋"/>
          <w:b/>
          <w:bCs/>
          <w:sz w:val="28"/>
        </w:rPr>
        <w:t>初试成绩占总成绩的权重为60%，复试成绩占40%</w:t>
      </w:r>
      <w:r>
        <w:rPr>
          <w:rFonts w:ascii="仿宋" w:hAnsi="仿宋" w:eastAsia="仿宋"/>
          <w:sz w:val="28"/>
        </w:rPr>
        <w:t>。</w:t>
      </w:r>
    </w:p>
    <w:p>
      <w:pPr>
        <w:pStyle w:val="5"/>
        <w:ind w:left="420" w:firstLine="0" w:firstLineChars="0"/>
        <w:rPr>
          <w:rFonts w:ascii="仿宋" w:hAnsi="仿宋" w:eastAsia="仿宋"/>
          <w:sz w:val="28"/>
        </w:rPr>
      </w:pPr>
    </w:p>
    <w:p>
      <w:pPr>
        <w:pStyle w:val="5"/>
        <w:ind w:left="420" w:firstLine="0" w:firstLineChars="0"/>
        <w:rPr>
          <w:rFonts w:ascii="仿宋" w:hAnsi="仿宋" w:eastAsia="仿宋"/>
          <w:sz w:val="28"/>
        </w:rPr>
      </w:pPr>
    </w:p>
    <w:p>
      <w:pPr>
        <w:pStyle w:val="5"/>
        <w:ind w:left="420" w:firstLine="0" w:firstLineChars="0"/>
        <w:jc w:val="right"/>
        <w:rPr>
          <w:rFonts w:ascii="仿宋" w:hAnsi="仿宋" w:eastAsia="仿宋"/>
          <w:sz w:val="28"/>
        </w:rPr>
      </w:pPr>
      <w:r>
        <w:rPr>
          <w:rFonts w:hint="eastAsia" w:ascii="仿宋" w:hAnsi="仿宋" w:eastAsia="仿宋"/>
          <w:sz w:val="28"/>
        </w:rPr>
        <w:t>北京</w:t>
      </w:r>
      <w:r>
        <w:rPr>
          <w:rFonts w:ascii="仿宋" w:hAnsi="仿宋" w:eastAsia="仿宋"/>
          <w:sz w:val="28"/>
        </w:rPr>
        <w:t>工商大学</w:t>
      </w:r>
    </w:p>
    <w:p>
      <w:pPr>
        <w:pStyle w:val="5"/>
        <w:ind w:left="420" w:firstLine="0" w:firstLineChars="0"/>
        <w:jc w:val="right"/>
        <w:rPr>
          <w:rFonts w:hint="default" w:ascii="仿宋" w:hAnsi="仿宋" w:eastAsia="仿宋"/>
          <w:sz w:val="28"/>
          <w:lang w:val="en-US" w:eastAsia="zh-CN"/>
        </w:rPr>
      </w:pPr>
      <w:r>
        <w:rPr>
          <w:rFonts w:hint="eastAsia" w:ascii="仿宋" w:hAnsi="仿宋" w:eastAsia="仿宋"/>
          <w:sz w:val="28"/>
          <w:lang w:val="en-US" w:eastAsia="zh-CN"/>
        </w:rPr>
        <w:t>计算机与人工智能学院</w:t>
      </w:r>
    </w:p>
    <w:p>
      <w:pPr>
        <w:pStyle w:val="5"/>
        <w:ind w:left="420" w:firstLine="0" w:firstLineChars="0"/>
        <w:jc w:val="right"/>
        <w:rPr>
          <w:rFonts w:hint="eastAsia" w:ascii="仿宋" w:hAnsi="仿宋" w:eastAsia="仿宋"/>
          <w:sz w:val="28"/>
        </w:rPr>
      </w:pPr>
      <w:r>
        <w:rPr>
          <w:rFonts w:hint="eastAsia" w:ascii="仿宋" w:hAnsi="仿宋" w:eastAsia="仿宋"/>
          <w:sz w:val="28"/>
        </w:rPr>
        <w:t>2024年</w:t>
      </w:r>
      <w:r>
        <w:rPr>
          <w:rFonts w:hint="eastAsia" w:ascii="仿宋" w:hAnsi="仿宋" w:eastAsia="仿宋"/>
          <w:sz w:val="28"/>
          <w:lang w:val="en-US" w:eastAsia="zh-CN"/>
        </w:rPr>
        <w:t>4</w:t>
      </w:r>
      <w:r>
        <w:rPr>
          <w:rFonts w:hint="eastAsia" w:ascii="仿宋" w:hAnsi="仿宋" w:eastAsia="仿宋"/>
          <w:sz w:val="28"/>
        </w:rPr>
        <w:t>月</w:t>
      </w:r>
      <w:r>
        <w:rPr>
          <w:rFonts w:hint="eastAsia" w:ascii="仿宋" w:hAnsi="仿宋" w:eastAsia="仿宋"/>
          <w:sz w:val="28"/>
          <w:lang w:val="en-US" w:eastAsia="zh-CN"/>
        </w:rPr>
        <w:t>2</w:t>
      </w:r>
      <w:r>
        <w:rPr>
          <w:rFonts w:hint="eastAsia" w:ascii="仿宋" w:hAnsi="仿宋" w:eastAsia="仿宋"/>
          <w:sz w:val="28"/>
        </w:rPr>
        <w:t>日</w:t>
      </w:r>
    </w:p>
    <w:p>
      <w:pPr>
        <w:pStyle w:val="5"/>
        <w:ind w:left="420" w:firstLine="0" w:firstLineChars="0"/>
        <w:jc w:val="right"/>
        <w:rPr>
          <w:rFonts w:hint="eastAsia" w:ascii="仿宋" w:hAnsi="仿宋" w:eastAsia="仿宋"/>
          <w:sz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49C9F"/>
    <w:multiLevelType w:val="singleLevel"/>
    <w:tmpl w:val="D3249C9F"/>
    <w:lvl w:ilvl="0" w:tentative="0">
      <w:start w:val="1"/>
      <w:numFmt w:val="decimal"/>
      <w:lvlText w:val="%1."/>
      <w:lvlJc w:val="left"/>
      <w:pPr>
        <w:tabs>
          <w:tab w:val="left" w:pos="312"/>
        </w:tabs>
      </w:pPr>
    </w:lvl>
  </w:abstractNum>
  <w:abstractNum w:abstractNumId="1">
    <w:nsid w:val="7BC45EE5"/>
    <w:multiLevelType w:val="multilevel"/>
    <w:tmpl w:val="7BC45EE5"/>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0MTNiYTVlYjU5NTY1ZjMzMTIwY2UxMGNjYTc4NWYifQ=="/>
  </w:docVars>
  <w:rsids>
    <w:rsidRoot w:val="00394D9C"/>
    <w:rsid w:val="00022D48"/>
    <w:rsid w:val="001242D6"/>
    <w:rsid w:val="00394D9C"/>
    <w:rsid w:val="006C68B6"/>
    <w:rsid w:val="00BE5BF3"/>
    <w:rsid w:val="00F1568C"/>
    <w:rsid w:val="03E11DFE"/>
    <w:rsid w:val="11E9219A"/>
    <w:rsid w:val="18B62A1B"/>
    <w:rsid w:val="1CFF359F"/>
    <w:rsid w:val="3D84780D"/>
    <w:rsid w:val="46264CBF"/>
    <w:rsid w:val="59F97B61"/>
    <w:rsid w:val="6BC62FC8"/>
    <w:rsid w:val="724F2AC9"/>
    <w:rsid w:val="7A1E0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character" w:styleId="4">
    <w:name w:val="Hyperlink"/>
    <w:basedOn w:val="3"/>
    <w:autoRedefine/>
    <w:unhideWhenUsed/>
    <w:qFormat/>
    <w:uiPriority w:val="99"/>
    <w:rPr>
      <w:color w:val="0563C1" w:themeColor="hyperlink"/>
      <w:u w:val="single"/>
      <w14:textFill>
        <w14:solidFill>
          <w14:schemeClr w14:val="hlink"/>
        </w14:solidFill>
      </w14:textFill>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330</Words>
  <Characters>1881</Characters>
  <Lines>15</Lines>
  <Paragraphs>4</Paragraphs>
  <TotalTime>98</TotalTime>
  <ScaleCrop>false</ScaleCrop>
  <LinksUpToDate>false</LinksUpToDate>
  <CharactersWithSpaces>2207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2024-03-26T06:46:00Z</dcterms:created>
  <dc:creator>zheng</dc:creator>
  <cp:lastModifiedBy>谭晶晶</cp:lastModifiedBy>
  <dcterms:modified xsi:type="dcterms:W3CDTF">2024-04-02T08:18:00Z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5C28EBB6B852400393405B002B1C7167_13</vt:lpwstr>
  </property>
</Properties>
</file>